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tn7e1q5qpfuz" w:id="0"/>
      <w:bookmarkEnd w:id="0"/>
      <w:r w:rsidDel="00000000" w:rsidR="00000000" w:rsidRPr="00000000">
        <w:rPr>
          <w:b w:val="1"/>
          <w:bCs w:val="1"/>
          <w:sz w:val="46"/>
          <w:szCs w:val="46"/>
          <w:rtl w:val="0"/>
        </w:rPr>
        <w:t xml:space="preserve">BlueCallom schafft souveränen AI-Stack mit Apertus 1.5</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Schweizer Unternehmen können Enterprise AI künftig auf einem souveränen Schweizer Technologie-Stack betreiben</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Zürich, Oktober 2026</w:t>
      </w:r>
      <w:r w:rsidDel="00000000" w:rsidR="00000000" w:rsidRPr="00000000">
        <w:rPr>
          <w:rtl w:val="0"/>
        </w:rPr>
        <w:t xml:space="preserve"> – BlueCallom·AI erweitert seine Enterprise-AI-Plattform um Apertus 1.5, das Schweizer Large Language Model (LLM), das von der ETH Zürich, der EPFL und dem Schweizerischen Nationalen Hochleistungsrechenzentrum (CSCS) entwickelt wurde. In Kombination mit Infrastruktur in der Schweiz ermöglicht die Integration einen souveränen Enterprise-AI-Stack – von der Infrastruktur über das Foundation Model bis zur Unternehmensanwendung.</w:t>
      </w:r>
    </w:p>
    <w:p w:rsidR="00000000" w:rsidDel="00000000" w:rsidP="00000000" w:rsidRDefault="00000000" w:rsidRPr="00000000" w14:paraId="00000004">
      <w:pPr>
        <w:spacing w:after="240" w:before="240" w:lineRule="auto"/>
        <w:rPr/>
      </w:pPr>
      <w:r w:rsidDel="00000000" w:rsidR="00000000" w:rsidRPr="00000000">
        <w:rPr>
          <w:rtl w:val="0"/>
        </w:rPr>
        <w:t xml:space="preserve">Apertus 1.5 ist ein vollständig offenes Large Language Model (LLM), das im Rahmen der Swiss AI Initiative entwickelt und auf dem Alps-Supercomputer am CSCS trainiert wurde. Das Modell wird unter der Apache-2.0-Lizenz veröffentlicht und schafft Transparenz hinsichtlich Entwicklung, Modellarchitektur und Trainingsprozess.</w:t>
      </w:r>
    </w:p>
    <w:p w:rsidR="00000000" w:rsidDel="00000000" w:rsidP="00000000" w:rsidRDefault="00000000" w:rsidRPr="00000000" w14:paraId="00000005">
      <w:pPr>
        <w:spacing w:after="240" w:before="240" w:lineRule="auto"/>
        <w:rPr/>
      </w:pPr>
      <w:r w:rsidDel="00000000" w:rsidR="00000000" w:rsidRPr="00000000">
        <w:rPr>
          <w:rtl w:val="0"/>
        </w:rPr>
        <w:t xml:space="preserve">Axel Schultze, CEO von BlueCallom, erklärt: «Für BlueCallom geht die Bedeutung weit über die Unterstützung eines weiteren Sprachmodells hinaus. Mit Apertus wird AI-Souveränität zu einer konkreten Architekturentscheidung für jede einzelne AI-Einheit. Das eröffnet der Schweiz und ihrer digitalen Souveränität eine grosse Chance.»</w:t>
      </w:r>
    </w:p>
    <w:p w:rsidR="00000000" w:rsidDel="00000000" w:rsidP="00000000" w:rsidRDefault="00000000" w:rsidRPr="00000000" w14:paraId="00000006">
      <w:pPr>
        <w:spacing w:after="240" w:before="240" w:lineRule="auto"/>
        <w:rPr/>
      </w:pPr>
      <w:r w:rsidDel="00000000" w:rsidR="00000000" w:rsidRPr="00000000">
        <w:rPr>
          <w:rtl w:val="0"/>
        </w:rPr>
        <w:t xml:space="preserve">Die aktuelle BlueCallom-Plattform AgenticBlue 2.5 ermöglicht eine sehr differenzierte Auswahl von AI-Modellen. Jede einzelne AI-Einheit – die kleinste Intelligenzkomponente innerhalb einer Enterprise-Workflow-Intelligence-Anwendung – kann auf ein anderes Large Language Model oder einen anderen AI-Dienst zugreifen.</w:t>
      </w:r>
    </w:p>
    <w:p w:rsidR="00000000" w:rsidDel="00000000" w:rsidP="00000000" w:rsidRDefault="00000000" w:rsidRPr="00000000" w14:paraId="00000007">
      <w:pPr>
        <w:spacing w:after="240" w:before="240" w:lineRule="auto"/>
        <w:rPr/>
      </w:pPr>
      <w:r w:rsidDel="00000000" w:rsidR="00000000" w:rsidRPr="00000000">
        <w:rPr>
          <w:rtl w:val="0"/>
        </w:rPr>
        <w:t xml:space="preserve">So kann beispielsweise ein geschäftskritischer Workflow vollständig mit Apertus auf Schweizer Infrastruktur betrieben werden. Eine andere AI-Einheit kann gleichzeitig ein spezialisiertes internationales Modell nutzen, wenn für eine bestimmte Aufgabe besondere Fähigkeiten erforderlich sind. Für die Bildgenerierung könnte etwa gezielt ein externer Dienst eingesetzt werden, während sensible betriebliche Prozesse und Unternehmensdaten innerhalb der souveränen Schweizer Umgebung verbleiben.</w:t>
      </w:r>
    </w:p>
    <w:p w:rsidR="00000000" w:rsidDel="00000000" w:rsidP="00000000" w:rsidRDefault="00000000" w:rsidRPr="00000000" w14:paraId="00000008">
      <w:pPr>
        <w:spacing w:after="240" w:before="240" w:lineRule="auto"/>
        <w:rPr/>
      </w:pPr>
      <w:r w:rsidDel="00000000" w:rsidR="00000000" w:rsidRPr="00000000">
        <w:rPr>
          <w:rtl w:val="0"/>
        </w:rPr>
        <w:t xml:space="preserve">Unternehmen können damit gezielt entscheiden, wo technologische Souveränität erforderlich ist und wo spezialisierte externe Fähigkeiten einen zusätzlichen Mehrwert schaffen. Bislang wurde die Auswahl von AI-Modellen im Enterprise-Umfeld vor allem durch zwei Kriterien bestimmt: Leistung und Kosten. BlueCallom ergänzt diese um ein drittes Kriterium: strategische Relevanz.</w:t>
      </w:r>
    </w:p>
    <w:p w:rsidR="00000000" w:rsidDel="00000000" w:rsidP="00000000" w:rsidRDefault="00000000" w:rsidRPr="00000000" w14:paraId="00000009">
      <w:pPr>
        <w:spacing w:after="240" w:before="240" w:lineRule="auto"/>
        <w:rPr/>
      </w:pPr>
      <w:r w:rsidDel="00000000" w:rsidR="00000000" w:rsidRPr="00000000">
        <w:rPr>
          <w:rtl w:val="0"/>
        </w:rPr>
        <w:t xml:space="preserve">Für jede AI-Aufgabe lässt sich das geeignete Modell anhand ihres Zwecks, der Sensibilität der verwendeten Daten, der erforderlichen Fähigkeiten, rechtlicher und regulatorischer Anforderungen, der Kosten, der Leistung sowie der Anforderungen an die Souveränität auswählen. Damit verändert sich auch die Rolle des AI-Modells im Unternehmen.</w:t>
      </w:r>
    </w:p>
    <w:p w:rsidR="00000000" w:rsidDel="00000000" w:rsidP="00000000" w:rsidRDefault="00000000" w:rsidRPr="00000000" w14:paraId="0000000A">
      <w:pPr>
        <w:spacing w:after="240" w:before="240" w:lineRule="auto"/>
        <w:rPr/>
      </w:pPr>
      <w:r w:rsidDel="00000000" w:rsidR="00000000" w:rsidRPr="00000000">
        <w:rPr>
          <w:rtl w:val="0"/>
        </w:rPr>
        <w:t xml:space="preserve">Mit Apertus 1.5, einer in der Schweiz betriebenen Infrastruktur und BlueCallom·AI können Unternehmen eine AI-Architektur aufbauen, deren zentrale Technologieschichten vollständig in der Schweiz betrieben werden können:</w:t>
      </w:r>
    </w:p>
    <w:p w:rsidR="00000000" w:rsidDel="00000000" w:rsidP="00000000" w:rsidRDefault="00000000" w:rsidRPr="00000000" w14:paraId="0000000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Schweizer Infrastruktur → Schweizer Foundation Model → Schweizer Enterprise-AI-Plattform → Enterprise Workflow Intelligence</w:t>
      </w:r>
    </w:p>
    <w:p w:rsidR="00000000" w:rsidDel="00000000" w:rsidP="00000000" w:rsidRDefault="00000000" w:rsidRPr="00000000" w14:paraId="0000000C">
      <w:pPr>
        <w:spacing w:after="240" w:before="240" w:lineRule="auto"/>
        <w:rPr/>
      </w:pPr>
      <w:r w:rsidDel="00000000" w:rsidR="00000000" w:rsidRPr="00000000">
        <w:rPr>
          <w:rtl w:val="0"/>
        </w:rPr>
        <w:t xml:space="preserve">Die Apertus-Initiative verfolgt selbst das langfristige Ziel einer souveränen AI-Infrastruktur und bietet Unternehmen eine offene Alternative zu proprietären kommerziellen Modellen. Apertus kann geprüft, angepasst und kommerziell eingesetzt werden. Für BlueCallom entsteht damit eine weitere wichtige Option für Unternehmen, die technologische Souveränität, Kontrolle über ihre Daten und langfristige Unabhängigkeit als strategische Anforderungen betrachten.</w:t>
      </w:r>
    </w:p>
    <w:p w:rsidR="00000000" w:rsidDel="00000000" w:rsidP="00000000" w:rsidRDefault="00000000" w:rsidRPr="00000000" w14:paraId="0000000D">
      <w:pPr>
        <w:spacing w:after="240" w:before="240" w:lineRule="auto"/>
        <w:rPr/>
      </w:pPr>
      <w:r w:rsidDel="00000000" w:rsidR="00000000" w:rsidRPr="00000000">
        <w:rPr>
          <w:rtl w:val="0"/>
        </w:rPr>
        <w:t xml:space="preserve">Enterprise AI muss sich damit nicht länger auf ein einziges AI-Modell oder eine einzige Modellstrategie beschränken. Unternehmen können für jede AI-Aufgabe gezielt das Modell einsetzen, das hinsichtlich Leistung, Kosten, Fähigkeiten und Souveränität am besten geeignet ist.</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Weitere Informationen finden Sie auf der Website von BlueCallom: </w:t>
      </w:r>
      <w:hyperlink r:id="rId6">
        <w:r w:rsidDel="00000000" w:rsidR="00000000" w:rsidRPr="00000000">
          <w:rPr>
            <w:b w:val="1"/>
            <w:bCs w:val="1"/>
            <w:color w:val="1155cc"/>
            <w:u w:val="single"/>
            <w:rtl w:val="0"/>
          </w:rPr>
          <w:t xml:space="preserve">bluecallom.com</w:t>
        </w:r>
      </w:hyperlink>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bluecallo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